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764A0" w:rsidRDefault="00B32CE3">
      <w:pPr>
        <w:pStyle w:val="Ttulo2"/>
        <w:keepNext w:val="0"/>
        <w:keepLines w:val="0"/>
        <w:shd w:val="clear" w:color="auto" w:fill="FFFFFF"/>
        <w:spacing w:after="80" w:line="264" w:lineRule="auto"/>
        <w:rPr>
          <w:rFonts w:ascii="Open Sans" w:eastAsia="Open Sans" w:hAnsi="Open Sans" w:cs="Open Sans"/>
          <w:b/>
          <w:sz w:val="34"/>
          <w:szCs w:val="34"/>
        </w:rPr>
      </w:pPr>
      <w:bookmarkStart w:id="0" w:name="_x3z2matyawg9" w:colFirst="0" w:colLast="0"/>
      <w:bookmarkStart w:id="1" w:name="_GoBack"/>
      <w:bookmarkEnd w:id="0"/>
      <w:bookmarkEnd w:id="1"/>
      <w:r>
        <w:rPr>
          <w:rFonts w:ascii="Open Sans" w:eastAsia="Open Sans" w:hAnsi="Open Sans" w:cs="Open Sans"/>
          <w:b/>
          <w:sz w:val="34"/>
          <w:szCs w:val="34"/>
        </w:rPr>
        <w:t>Día de la Nación Charrúa y de la Identidad indígena</w:t>
      </w:r>
    </w:p>
    <w:p w14:paraId="00000002" w14:textId="77777777" w:rsidR="00A764A0" w:rsidRDefault="00B32CE3">
      <w:pPr>
        <w:shd w:val="clear" w:color="auto" w:fill="FFFFFF"/>
        <w:rPr>
          <w:rFonts w:ascii="Open Sans" w:eastAsia="Open Sans" w:hAnsi="Open Sans" w:cs="Open Sans"/>
        </w:rPr>
      </w:pPr>
      <w:r>
        <w:rPr>
          <w:rFonts w:ascii="Open Sans" w:eastAsia="Open Sans" w:hAnsi="Open Sans" w:cs="Open Sans"/>
          <w:color w:val="555555"/>
          <w:sz w:val="24"/>
          <w:szCs w:val="24"/>
        </w:rPr>
        <w:t>11/04/2021</w:t>
      </w:r>
    </w:p>
    <w:p w14:paraId="00000003" w14:textId="77777777" w:rsidR="00A764A0" w:rsidRDefault="00A764A0">
      <w:pPr>
        <w:shd w:val="clear" w:color="auto" w:fill="FFFFFF"/>
        <w:jc w:val="both"/>
        <w:rPr>
          <w:rFonts w:ascii="Open Sans" w:eastAsia="Open Sans" w:hAnsi="Open Sans" w:cs="Open Sans"/>
          <w:color w:val="333333"/>
          <w:sz w:val="32"/>
          <w:szCs w:val="32"/>
          <w:highlight w:val="white"/>
        </w:rPr>
      </w:pPr>
    </w:p>
    <w:p w14:paraId="00000004" w14:textId="77777777" w:rsidR="00A764A0" w:rsidRDefault="00B32CE3">
      <w:pPr>
        <w:shd w:val="clear" w:color="auto" w:fill="FFFFFF"/>
        <w:jc w:val="both"/>
        <w:rPr>
          <w:rFonts w:ascii="Open Sans" w:eastAsia="Open Sans" w:hAnsi="Open Sans" w:cs="Open Sans"/>
          <w:color w:val="333333"/>
          <w:sz w:val="32"/>
          <w:szCs w:val="32"/>
          <w:highlight w:val="white"/>
        </w:rPr>
      </w:pPr>
      <w:r>
        <w:rPr>
          <w:rFonts w:ascii="Open Sans" w:eastAsia="Open Sans" w:hAnsi="Open Sans" w:cs="Open Sans"/>
          <w:color w:val="333333"/>
          <w:sz w:val="32"/>
          <w:szCs w:val="32"/>
          <w:highlight w:val="white"/>
        </w:rPr>
        <w:t xml:space="preserve">La Institución Nacional de Derechos Humanos y Defensoría del Pueblo (INDDHH) adhiere a la conmemoración del genocidio ocurrido en </w:t>
      </w:r>
      <w:proofErr w:type="spellStart"/>
      <w:r>
        <w:rPr>
          <w:rFonts w:ascii="Open Sans" w:eastAsia="Open Sans" w:hAnsi="Open Sans" w:cs="Open Sans"/>
          <w:color w:val="333333"/>
          <w:sz w:val="32"/>
          <w:szCs w:val="32"/>
          <w:highlight w:val="white"/>
        </w:rPr>
        <w:t>Salsipuedes</w:t>
      </w:r>
      <w:proofErr w:type="spellEnd"/>
      <w:r>
        <w:rPr>
          <w:rFonts w:ascii="Open Sans" w:eastAsia="Open Sans" w:hAnsi="Open Sans" w:cs="Open Sans"/>
          <w:color w:val="333333"/>
          <w:sz w:val="32"/>
          <w:szCs w:val="32"/>
          <w:highlight w:val="white"/>
        </w:rPr>
        <w:t xml:space="preserve"> el 11 de abril de 1831 y exhorta a la adopción de medidas </w:t>
      </w:r>
      <w:proofErr w:type="spellStart"/>
      <w:r>
        <w:rPr>
          <w:rFonts w:ascii="Open Sans" w:eastAsia="Open Sans" w:hAnsi="Open Sans" w:cs="Open Sans"/>
          <w:color w:val="333333"/>
          <w:sz w:val="32"/>
          <w:szCs w:val="32"/>
          <w:highlight w:val="white"/>
        </w:rPr>
        <w:t>reparatorias</w:t>
      </w:r>
      <w:proofErr w:type="spellEnd"/>
      <w:r>
        <w:rPr>
          <w:rFonts w:ascii="Open Sans" w:eastAsia="Open Sans" w:hAnsi="Open Sans" w:cs="Open Sans"/>
          <w:color w:val="333333"/>
          <w:sz w:val="32"/>
          <w:szCs w:val="32"/>
          <w:highlight w:val="white"/>
        </w:rPr>
        <w:t xml:space="preserve"> que reconozcan la vulneración histórica de los derechos humanos colectivos de los pueblos indígenas en Uruguay.</w:t>
      </w:r>
    </w:p>
    <w:p w14:paraId="00000005" w14:textId="77777777" w:rsidR="00A764A0" w:rsidRDefault="00A764A0">
      <w:pPr>
        <w:shd w:val="clear" w:color="auto" w:fill="FFFFFF"/>
        <w:jc w:val="both"/>
        <w:rPr>
          <w:rFonts w:ascii="Open Sans" w:eastAsia="Open Sans" w:hAnsi="Open Sans" w:cs="Open Sans"/>
          <w:color w:val="333333"/>
          <w:sz w:val="32"/>
          <w:szCs w:val="32"/>
          <w:highlight w:val="white"/>
        </w:rPr>
      </w:pPr>
    </w:p>
    <w:p w14:paraId="00000006" w14:textId="77777777" w:rsidR="00A764A0" w:rsidRDefault="00B32CE3">
      <w:pPr>
        <w:shd w:val="clear" w:color="auto" w:fill="FFFFFF"/>
        <w:jc w:val="both"/>
        <w:rPr>
          <w:rFonts w:ascii="Open Sans" w:eastAsia="Open Sans" w:hAnsi="Open Sans" w:cs="Open Sans"/>
          <w:color w:val="333333"/>
          <w:sz w:val="32"/>
          <w:szCs w:val="32"/>
          <w:highlight w:val="white"/>
        </w:rPr>
      </w:pPr>
      <w:r>
        <w:rPr>
          <w:rFonts w:ascii="Open Sans" w:eastAsia="Open Sans" w:hAnsi="Open Sans" w:cs="Open Sans"/>
          <w:color w:val="333333"/>
          <w:sz w:val="32"/>
          <w:szCs w:val="32"/>
          <w:highlight w:val="white"/>
        </w:rPr>
        <w:t>(foto)</w:t>
      </w:r>
    </w:p>
    <w:p w14:paraId="00000007" w14:textId="77777777" w:rsidR="00A764A0" w:rsidRDefault="00A764A0">
      <w:pPr>
        <w:shd w:val="clear" w:color="auto" w:fill="FFFFFF"/>
        <w:spacing w:after="240"/>
        <w:jc w:val="both"/>
        <w:rPr>
          <w:rFonts w:ascii="Open Sans" w:eastAsia="Open Sans" w:hAnsi="Open Sans" w:cs="Open Sans"/>
          <w:color w:val="333333"/>
          <w:sz w:val="24"/>
          <w:szCs w:val="24"/>
          <w:highlight w:val="white"/>
        </w:rPr>
      </w:pPr>
    </w:p>
    <w:p w14:paraId="00000008" w14:textId="77777777" w:rsidR="00A764A0" w:rsidRDefault="00B32CE3">
      <w:pPr>
        <w:shd w:val="clear" w:color="auto" w:fill="FFFFFF"/>
        <w:spacing w:after="240"/>
        <w:jc w:val="both"/>
        <w:rPr>
          <w:rFonts w:ascii="Open Sans" w:eastAsia="Open Sans" w:hAnsi="Open Sans" w:cs="Open Sans"/>
          <w:color w:val="333333"/>
          <w:sz w:val="24"/>
          <w:szCs w:val="24"/>
          <w:highlight w:val="white"/>
        </w:rPr>
      </w:pPr>
      <w:r>
        <w:rPr>
          <w:rFonts w:ascii="Open Sans" w:eastAsia="Open Sans" w:hAnsi="Open Sans" w:cs="Open Sans"/>
          <w:color w:val="333333"/>
          <w:sz w:val="24"/>
          <w:szCs w:val="24"/>
          <w:highlight w:val="white"/>
        </w:rPr>
        <w:t xml:space="preserve">La memoria viva del genocidio de </w:t>
      </w:r>
      <w:proofErr w:type="spellStart"/>
      <w:r>
        <w:rPr>
          <w:rFonts w:ascii="Open Sans" w:eastAsia="Open Sans" w:hAnsi="Open Sans" w:cs="Open Sans"/>
          <w:color w:val="333333"/>
          <w:sz w:val="24"/>
          <w:szCs w:val="24"/>
          <w:highlight w:val="white"/>
        </w:rPr>
        <w:t>Salsipuedes</w:t>
      </w:r>
      <w:proofErr w:type="spellEnd"/>
      <w:r>
        <w:rPr>
          <w:rFonts w:ascii="Open Sans" w:eastAsia="Open Sans" w:hAnsi="Open Sans" w:cs="Open Sans"/>
          <w:color w:val="333333"/>
          <w:sz w:val="24"/>
          <w:szCs w:val="24"/>
          <w:highlight w:val="white"/>
        </w:rPr>
        <w:t xml:space="preserve"> es parte del homenaje a las víctimas y de la reparación a la comunidad indígena en nuestro país. Los hechos de </w:t>
      </w:r>
      <w:proofErr w:type="spellStart"/>
      <w:r>
        <w:rPr>
          <w:rFonts w:ascii="Open Sans" w:eastAsia="Open Sans" w:hAnsi="Open Sans" w:cs="Open Sans"/>
          <w:color w:val="333333"/>
          <w:sz w:val="24"/>
          <w:szCs w:val="24"/>
          <w:highlight w:val="white"/>
        </w:rPr>
        <w:t>Salsipuedes</w:t>
      </w:r>
      <w:proofErr w:type="spellEnd"/>
      <w:r>
        <w:rPr>
          <w:rFonts w:ascii="Open Sans" w:eastAsia="Open Sans" w:hAnsi="Open Sans" w:cs="Open Sans"/>
          <w:color w:val="333333"/>
          <w:sz w:val="24"/>
          <w:szCs w:val="24"/>
          <w:highlight w:val="white"/>
        </w:rPr>
        <w:t xml:space="preserve"> culminan un proceso sistemático de exclusión, discriminación y exterminio de los pueblos indígenas en nuestro país primero durante el período de conquista y colonización, y luego a través de la dominación cultural y la expropiación de tierras, ejercido desde la década de 1830 por parte del Estado Nación.</w:t>
      </w:r>
    </w:p>
    <w:p w14:paraId="00000009" w14:textId="77777777" w:rsidR="00A764A0" w:rsidRDefault="00B32CE3">
      <w:pPr>
        <w:shd w:val="clear" w:color="auto" w:fill="FFFFFF"/>
        <w:spacing w:after="240"/>
        <w:jc w:val="both"/>
        <w:rPr>
          <w:rFonts w:ascii="Open Sans" w:eastAsia="Open Sans" w:hAnsi="Open Sans" w:cs="Open Sans"/>
          <w:color w:val="333333"/>
          <w:sz w:val="24"/>
          <w:szCs w:val="24"/>
          <w:highlight w:val="white"/>
        </w:rPr>
      </w:pPr>
      <w:r>
        <w:rPr>
          <w:rFonts w:ascii="Open Sans" w:eastAsia="Open Sans" w:hAnsi="Open Sans" w:cs="Open Sans"/>
          <w:color w:val="333333"/>
          <w:sz w:val="24"/>
          <w:szCs w:val="24"/>
          <w:highlight w:val="white"/>
        </w:rPr>
        <w:t xml:space="preserve">Las organizaciones indígenas de nuestro país, han manifestado en reiteradas oportunidades la necesidad del reconocimiento de los hechos sucedidos en </w:t>
      </w:r>
      <w:proofErr w:type="spellStart"/>
      <w:r>
        <w:rPr>
          <w:rFonts w:ascii="Open Sans" w:eastAsia="Open Sans" w:hAnsi="Open Sans" w:cs="Open Sans"/>
          <w:color w:val="333333"/>
          <w:sz w:val="24"/>
          <w:szCs w:val="24"/>
          <w:highlight w:val="white"/>
        </w:rPr>
        <w:t>Salsipuedes</w:t>
      </w:r>
      <w:proofErr w:type="spellEnd"/>
      <w:r>
        <w:rPr>
          <w:rFonts w:ascii="Open Sans" w:eastAsia="Open Sans" w:hAnsi="Open Sans" w:cs="Open Sans"/>
          <w:color w:val="333333"/>
          <w:sz w:val="24"/>
          <w:szCs w:val="24"/>
          <w:highlight w:val="white"/>
        </w:rPr>
        <w:t xml:space="preserve"> como evidencia histórica de un proceso </w:t>
      </w:r>
      <w:proofErr w:type="spellStart"/>
      <w:r>
        <w:rPr>
          <w:rFonts w:ascii="Open Sans" w:eastAsia="Open Sans" w:hAnsi="Open Sans" w:cs="Open Sans"/>
          <w:color w:val="333333"/>
          <w:sz w:val="24"/>
          <w:szCs w:val="24"/>
          <w:highlight w:val="white"/>
        </w:rPr>
        <w:t>contínuo</w:t>
      </w:r>
      <w:proofErr w:type="spellEnd"/>
      <w:r>
        <w:rPr>
          <w:rFonts w:ascii="Open Sans" w:eastAsia="Open Sans" w:hAnsi="Open Sans" w:cs="Open Sans"/>
          <w:color w:val="333333"/>
          <w:sz w:val="24"/>
          <w:szCs w:val="24"/>
          <w:highlight w:val="white"/>
        </w:rPr>
        <w:t xml:space="preserve"> de violación de los derechos humanos de las comunidades indígenas, que se perpetúa hasta nuestros días.  </w:t>
      </w:r>
    </w:p>
    <w:p w14:paraId="0000000A" w14:textId="77777777" w:rsidR="00A764A0" w:rsidRDefault="00B32CE3">
      <w:pPr>
        <w:shd w:val="clear" w:color="auto" w:fill="FFFFFF"/>
        <w:jc w:val="both"/>
        <w:rPr>
          <w:rFonts w:ascii="Open Sans" w:eastAsia="Open Sans" w:hAnsi="Open Sans" w:cs="Open Sans"/>
          <w:color w:val="333333"/>
        </w:rPr>
      </w:pPr>
      <w:r>
        <w:rPr>
          <w:rFonts w:ascii="Open Sans" w:eastAsia="Open Sans" w:hAnsi="Open Sans" w:cs="Open Sans"/>
          <w:color w:val="333333"/>
          <w:sz w:val="24"/>
          <w:szCs w:val="24"/>
          <w:highlight w:val="white"/>
        </w:rPr>
        <w:t xml:space="preserve">Recientemente, ante la consulta realizada por la UNESCO (Ciencia Abierta) para la elaboración de recomendaciones en un proceso de </w:t>
      </w:r>
      <w:proofErr w:type="spellStart"/>
      <w:r>
        <w:rPr>
          <w:rFonts w:ascii="Open Sans" w:eastAsia="Open Sans" w:hAnsi="Open Sans" w:cs="Open Sans"/>
          <w:color w:val="333333"/>
          <w:sz w:val="24"/>
          <w:szCs w:val="24"/>
          <w:highlight w:val="white"/>
        </w:rPr>
        <w:t>decolonización</w:t>
      </w:r>
      <w:proofErr w:type="spellEnd"/>
      <w:r>
        <w:rPr>
          <w:rFonts w:ascii="Open Sans" w:eastAsia="Open Sans" w:hAnsi="Open Sans" w:cs="Open Sans"/>
          <w:color w:val="333333"/>
          <w:sz w:val="24"/>
          <w:szCs w:val="24"/>
          <w:highlight w:val="white"/>
        </w:rPr>
        <w:t xml:space="preserve"> del conocimiento y apertura al conocimiento indígena, organizaciones indígenas de nuestro país participaron de la misma pero manifestaron que aún persiste cierta desconfianza dentro de las comunidades indígenas para compartir sus saberes, con base en las experiencias pasadas de saqueo, expropiación, explotación, discriminación y desacreditación de sus saberes.</w:t>
      </w:r>
      <w:r>
        <w:rPr>
          <w:rFonts w:ascii="Open Sans" w:eastAsia="Open Sans" w:hAnsi="Open Sans" w:cs="Open Sans"/>
          <w:color w:val="333333"/>
          <w:vertAlign w:val="superscript"/>
        </w:rPr>
        <w:footnoteReference w:id="1"/>
      </w:r>
    </w:p>
    <w:p w14:paraId="0000000B" w14:textId="77777777" w:rsidR="00A764A0" w:rsidRDefault="00A764A0">
      <w:pPr>
        <w:shd w:val="clear" w:color="auto" w:fill="FFFFFF"/>
        <w:jc w:val="both"/>
        <w:rPr>
          <w:rFonts w:ascii="Open Sans" w:eastAsia="Open Sans" w:hAnsi="Open Sans" w:cs="Open Sans"/>
          <w:color w:val="333333"/>
        </w:rPr>
      </w:pPr>
    </w:p>
    <w:p w14:paraId="0000000C" w14:textId="77777777" w:rsidR="00A764A0" w:rsidRDefault="00B32CE3">
      <w:pPr>
        <w:shd w:val="clear" w:color="auto" w:fill="FFFFFF"/>
        <w:spacing w:after="240"/>
        <w:jc w:val="both"/>
        <w:rPr>
          <w:rFonts w:ascii="Open Sans" w:eastAsia="Open Sans" w:hAnsi="Open Sans" w:cs="Open Sans"/>
          <w:color w:val="333333"/>
        </w:rPr>
      </w:pPr>
      <w:r>
        <w:rPr>
          <w:rFonts w:ascii="Open Sans" w:eastAsia="Open Sans" w:hAnsi="Open Sans" w:cs="Open Sans"/>
          <w:color w:val="333333"/>
          <w:sz w:val="24"/>
          <w:szCs w:val="24"/>
          <w:highlight w:val="white"/>
        </w:rPr>
        <w:t>El Estado uruguayo ha recibido múltiples recomendaciones de organismos internacionales de derechos humanos</w:t>
      </w:r>
      <w:r>
        <w:rPr>
          <w:rFonts w:ascii="Open Sans" w:eastAsia="Open Sans" w:hAnsi="Open Sans" w:cs="Open Sans"/>
          <w:color w:val="333333"/>
          <w:sz w:val="24"/>
          <w:szCs w:val="24"/>
          <w:highlight w:val="white"/>
          <w:vertAlign w:val="superscript"/>
        </w:rPr>
        <w:footnoteReference w:id="2"/>
      </w:r>
      <w:r>
        <w:rPr>
          <w:rFonts w:ascii="Open Sans" w:eastAsia="Open Sans" w:hAnsi="Open Sans" w:cs="Open Sans"/>
          <w:color w:val="333333"/>
          <w:sz w:val="24"/>
          <w:szCs w:val="24"/>
          <w:highlight w:val="white"/>
        </w:rPr>
        <w:t xml:space="preserve"> orientadas a adoptar medidas efectivas hacia el reconocimiento y </w:t>
      </w:r>
      <w:proofErr w:type="spellStart"/>
      <w:r>
        <w:rPr>
          <w:rFonts w:ascii="Open Sans" w:eastAsia="Open Sans" w:hAnsi="Open Sans" w:cs="Open Sans"/>
          <w:color w:val="333333"/>
          <w:sz w:val="24"/>
          <w:szCs w:val="24"/>
          <w:highlight w:val="white"/>
        </w:rPr>
        <w:lastRenderedPageBreak/>
        <w:t>visibilización</w:t>
      </w:r>
      <w:proofErr w:type="spellEnd"/>
      <w:r>
        <w:rPr>
          <w:rFonts w:ascii="Open Sans" w:eastAsia="Open Sans" w:hAnsi="Open Sans" w:cs="Open Sans"/>
          <w:color w:val="333333"/>
          <w:sz w:val="24"/>
          <w:szCs w:val="24"/>
          <w:highlight w:val="white"/>
        </w:rPr>
        <w:t xml:space="preserve"> de los pueblos indígenas, así como el combate contra estereotipos discriminatorios sobre las personas de ascendencia indígena. También en forma reiterada se recomendó al país la ratificación del Convenio sobre Pueblos Indígenas y Tribales en Países Independientes, 1989 (núm. 169), de la Organización Internacional del Trabajo (OIT). </w:t>
      </w:r>
    </w:p>
    <w:p w14:paraId="0000000D" w14:textId="77777777" w:rsidR="00A764A0" w:rsidRDefault="00B32CE3">
      <w:pPr>
        <w:shd w:val="clear" w:color="auto" w:fill="FFFFFF"/>
        <w:spacing w:after="240"/>
        <w:jc w:val="both"/>
        <w:rPr>
          <w:rFonts w:ascii="Open Sans" w:eastAsia="Open Sans" w:hAnsi="Open Sans" w:cs="Open Sans"/>
          <w:color w:val="333333"/>
          <w:sz w:val="24"/>
          <w:szCs w:val="24"/>
          <w:highlight w:val="white"/>
        </w:rPr>
      </w:pPr>
      <w:r>
        <w:rPr>
          <w:rFonts w:ascii="Open Sans" w:eastAsia="Open Sans" w:hAnsi="Open Sans" w:cs="Open Sans"/>
          <w:color w:val="333333"/>
          <w:sz w:val="24"/>
          <w:szCs w:val="24"/>
          <w:highlight w:val="white"/>
        </w:rPr>
        <w:t xml:space="preserve">La INDDHH exhorta al Estado uruguayo a que se comprometa en la implementación de acciones que aporten a la recuperación, construcción y reconocimiento de los violentos hechos acaecidos en </w:t>
      </w:r>
      <w:proofErr w:type="spellStart"/>
      <w:r>
        <w:rPr>
          <w:rFonts w:ascii="Open Sans" w:eastAsia="Open Sans" w:hAnsi="Open Sans" w:cs="Open Sans"/>
          <w:color w:val="333333"/>
          <w:sz w:val="24"/>
          <w:szCs w:val="24"/>
          <w:highlight w:val="white"/>
        </w:rPr>
        <w:t>Salsipuedes</w:t>
      </w:r>
      <w:proofErr w:type="spellEnd"/>
      <w:r>
        <w:rPr>
          <w:rFonts w:ascii="Open Sans" w:eastAsia="Open Sans" w:hAnsi="Open Sans" w:cs="Open Sans"/>
          <w:color w:val="333333"/>
          <w:sz w:val="24"/>
          <w:szCs w:val="24"/>
          <w:highlight w:val="white"/>
        </w:rPr>
        <w:t xml:space="preserve"> cometidos por las autoridades estatales de la época, dentro de un largo proceso histórico de vulneraciones de los derechos de las comunidades indígenas en nuestro país. </w:t>
      </w:r>
    </w:p>
    <w:p w14:paraId="0000000E" w14:textId="77777777" w:rsidR="00A764A0" w:rsidRDefault="00B32CE3">
      <w:pPr>
        <w:shd w:val="clear" w:color="auto" w:fill="FFFFFF"/>
        <w:spacing w:after="240"/>
        <w:jc w:val="both"/>
        <w:rPr>
          <w:rFonts w:ascii="Open Sans" w:eastAsia="Open Sans" w:hAnsi="Open Sans" w:cs="Open Sans"/>
          <w:color w:val="333333"/>
          <w:sz w:val="24"/>
          <w:szCs w:val="24"/>
          <w:highlight w:val="white"/>
        </w:rPr>
      </w:pPr>
      <w:r>
        <w:rPr>
          <w:rFonts w:ascii="Open Sans" w:eastAsia="Open Sans" w:hAnsi="Open Sans" w:cs="Open Sans"/>
          <w:color w:val="333333"/>
          <w:sz w:val="24"/>
          <w:szCs w:val="24"/>
          <w:highlight w:val="white"/>
        </w:rPr>
        <w:t xml:space="preserve">A su vez, anima a que se desarrolle una política integral de lucha contra toda discriminación racial con una amplia participación de las organizaciones y colectivos indígenas. </w:t>
      </w:r>
    </w:p>
    <w:p w14:paraId="0000000F" w14:textId="77777777" w:rsidR="00A764A0" w:rsidRDefault="00A764A0">
      <w:pPr>
        <w:shd w:val="clear" w:color="auto" w:fill="FFFFFF"/>
        <w:spacing w:after="240"/>
        <w:jc w:val="both"/>
        <w:rPr>
          <w:rFonts w:ascii="Open Sans" w:eastAsia="Open Sans" w:hAnsi="Open Sans" w:cs="Open Sans"/>
          <w:color w:val="333333"/>
          <w:sz w:val="24"/>
          <w:szCs w:val="24"/>
          <w:highlight w:val="white"/>
        </w:rPr>
      </w:pPr>
    </w:p>
    <w:p w14:paraId="00000010" w14:textId="77777777" w:rsidR="00A764A0" w:rsidRDefault="00A764A0">
      <w:pPr>
        <w:shd w:val="clear" w:color="auto" w:fill="FFFFFF"/>
        <w:spacing w:after="240"/>
        <w:jc w:val="both"/>
        <w:rPr>
          <w:rFonts w:ascii="Open Sans" w:eastAsia="Open Sans" w:hAnsi="Open Sans" w:cs="Open Sans"/>
          <w:color w:val="333333"/>
          <w:sz w:val="24"/>
          <w:szCs w:val="24"/>
          <w:highlight w:val="white"/>
        </w:rPr>
      </w:pPr>
    </w:p>
    <w:p w14:paraId="00000011" w14:textId="77777777" w:rsidR="00A764A0" w:rsidRDefault="00A764A0">
      <w:pPr>
        <w:shd w:val="clear" w:color="auto" w:fill="FFFFFF"/>
        <w:rPr>
          <w:rFonts w:ascii="Open Sans" w:eastAsia="Open Sans" w:hAnsi="Open Sans" w:cs="Open Sans"/>
          <w:color w:val="333333"/>
        </w:rPr>
      </w:pPr>
    </w:p>
    <w:p w14:paraId="00000012" w14:textId="77777777" w:rsidR="00A764A0" w:rsidRDefault="00A764A0">
      <w:pPr>
        <w:shd w:val="clear" w:color="auto" w:fill="FFFFFF"/>
        <w:jc w:val="both"/>
        <w:rPr>
          <w:rFonts w:ascii="Open Sans" w:eastAsia="Open Sans" w:hAnsi="Open Sans" w:cs="Open Sans"/>
          <w:color w:val="333333"/>
        </w:rPr>
      </w:pPr>
    </w:p>
    <w:p w14:paraId="00000013" w14:textId="77777777" w:rsidR="00A764A0" w:rsidRDefault="00A764A0"/>
    <w:sectPr w:rsidR="00A764A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B70F4" w14:textId="77777777" w:rsidR="001D7A50" w:rsidRDefault="001D7A50">
      <w:pPr>
        <w:spacing w:line="240" w:lineRule="auto"/>
      </w:pPr>
      <w:r>
        <w:separator/>
      </w:r>
    </w:p>
  </w:endnote>
  <w:endnote w:type="continuationSeparator" w:id="0">
    <w:p w14:paraId="3C509C84" w14:textId="77777777" w:rsidR="001D7A50" w:rsidRDefault="001D7A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FB595" w14:textId="77777777" w:rsidR="001D7A50" w:rsidRDefault="001D7A50">
      <w:pPr>
        <w:spacing w:line="240" w:lineRule="auto"/>
      </w:pPr>
      <w:r>
        <w:separator/>
      </w:r>
    </w:p>
  </w:footnote>
  <w:footnote w:type="continuationSeparator" w:id="0">
    <w:p w14:paraId="053CBF7A" w14:textId="77777777" w:rsidR="001D7A50" w:rsidRDefault="001D7A50">
      <w:pPr>
        <w:spacing w:line="240" w:lineRule="auto"/>
      </w:pPr>
      <w:r>
        <w:continuationSeparator/>
      </w:r>
    </w:p>
  </w:footnote>
  <w:footnote w:id="1">
    <w:p w14:paraId="00000014" w14:textId="77777777" w:rsidR="00A764A0" w:rsidRDefault="00B32CE3">
      <w:pPr>
        <w:spacing w:line="240" w:lineRule="auto"/>
        <w:rPr>
          <w:sz w:val="20"/>
          <w:szCs w:val="20"/>
        </w:rPr>
      </w:pPr>
      <w:r>
        <w:rPr>
          <w:vertAlign w:val="superscript"/>
        </w:rPr>
        <w:footnoteRef/>
      </w:r>
      <w:r>
        <w:rPr>
          <w:sz w:val="20"/>
          <w:szCs w:val="20"/>
        </w:rPr>
        <w:t xml:space="preserve"> INDDHH, Noticia: “Consulta a los pueblos indígenas sobre ciencia abierta”. 15 de enero de 2021. Recuperado de: </w:t>
      </w:r>
      <w:hyperlink r:id="rId1">
        <w:r>
          <w:rPr>
            <w:color w:val="1155CC"/>
            <w:sz w:val="20"/>
            <w:szCs w:val="20"/>
            <w:u w:val="single"/>
          </w:rPr>
          <w:t>https://www.gub.uy/institucion-nacional-derechos-humanos-uruguay/comunicacion/noticias/consulta-pueblos-indigenas-sobre-ciencia-abierta#</w:t>
        </w:r>
      </w:hyperlink>
    </w:p>
    <w:p w14:paraId="00000015" w14:textId="77777777" w:rsidR="00A764A0" w:rsidRDefault="00A764A0">
      <w:pPr>
        <w:spacing w:line="240" w:lineRule="auto"/>
        <w:rPr>
          <w:sz w:val="20"/>
          <w:szCs w:val="20"/>
        </w:rPr>
      </w:pPr>
    </w:p>
  </w:footnote>
  <w:footnote w:id="2">
    <w:p w14:paraId="00000016" w14:textId="77777777" w:rsidR="00A764A0" w:rsidRDefault="00B32CE3">
      <w:pPr>
        <w:spacing w:line="240" w:lineRule="auto"/>
        <w:rPr>
          <w:sz w:val="20"/>
          <w:szCs w:val="20"/>
        </w:rPr>
      </w:pPr>
      <w:r>
        <w:rPr>
          <w:vertAlign w:val="superscript"/>
        </w:rPr>
        <w:footnoteRef/>
      </w:r>
      <w:r>
        <w:rPr>
          <w:sz w:val="20"/>
          <w:szCs w:val="20"/>
        </w:rPr>
        <w:t xml:space="preserve"> </w:t>
      </w:r>
      <w:r>
        <w:rPr>
          <w:color w:val="333333"/>
          <w:sz w:val="20"/>
          <w:szCs w:val="20"/>
          <w:highlight w:val="white"/>
        </w:rPr>
        <w:t xml:space="preserve">Al respecto se han pronunciado: el </w:t>
      </w:r>
      <w:r>
        <w:rPr>
          <w:rFonts w:ascii="Open Sans" w:eastAsia="Open Sans" w:hAnsi="Open Sans" w:cs="Open Sans"/>
          <w:color w:val="333333"/>
          <w:sz w:val="20"/>
          <w:szCs w:val="20"/>
          <w:highlight w:val="white"/>
        </w:rPr>
        <w:t xml:space="preserve">Comité para la Eliminación de la Discriminación contra la mujer (CEDAW) en 2008; </w:t>
      </w:r>
      <w:r>
        <w:rPr>
          <w:color w:val="333333"/>
          <w:sz w:val="20"/>
          <w:szCs w:val="20"/>
          <w:highlight w:val="white"/>
        </w:rPr>
        <w:t>el Comité para la Eliminación de la Discriminación Racial (CERD) en 2016, 2011 y 2008; el Comité de Derechos Económicos, Sociales y Culturales (CESCR) en 2017; el Consejo de Derechos Humanos de Naciones Unidas en el marco del Examen Periódico Universal (EPU) en 2019 y; el Comité de los Derechos Humanos (CCPR) en 2018; el Relator Especial sobre la cuestión de las obligaciones de derechos humanos relativas al disfrute de un medio ambiente seguro, limpio, saludable y sostenible en 2019.</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4A0"/>
    <w:rsid w:val="001D7A50"/>
    <w:rsid w:val="004A7CD9"/>
    <w:rsid w:val="006161CC"/>
    <w:rsid w:val="00A764A0"/>
    <w:rsid w:val="00B32CE3"/>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20ECE-EFB3-4FE8-A5A2-DCA817A0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UY" w:eastAsia="es-UY"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ub.uy/institucion-nacional-derechos-humanos-uruguay/comunicacion/noticias/consulta-pueblos-indigenas-sobre-ciencia-abier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2346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ckcku</dc:creator>
  <cp:lastModifiedBy>Claudia Kuzma</cp:lastModifiedBy>
  <cp:revision>2</cp:revision>
  <dcterms:created xsi:type="dcterms:W3CDTF">2021-09-29T16:55:00Z</dcterms:created>
  <dcterms:modified xsi:type="dcterms:W3CDTF">2021-09-29T16:55:00Z</dcterms:modified>
</cp:coreProperties>
</file>